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B05D1" w14:textId="4F392F1C" w:rsidR="00375209" w:rsidRDefault="009C6FD4">
      <w:pPr>
        <w:spacing w:before="46"/>
        <w:jc w:val="center"/>
        <w:rPr>
          <w:i/>
        </w:rPr>
      </w:pPr>
      <w:r>
        <w:rPr>
          <w:i/>
        </w:rPr>
        <w:t>Northwestern State University</w:t>
      </w:r>
    </w:p>
    <w:p w14:paraId="13CAFB45" w14:textId="6C9BECB9" w:rsidR="00375209" w:rsidRDefault="00102619">
      <w:pPr>
        <w:ind w:right="27"/>
        <w:jc w:val="center"/>
        <w:rPr>
          <w:i/>
        </w:rPr>
      </w:pPr>
      <w:r>
        <w:rPr>
          <w:i/>
        </w:rPr>
        <w:t>Oﬃce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 w:rsidR="009C6FD4">
        <w:rPr>
          <w:i/>
          <w:spacing w:val="-2"/>
        </w:rPr>
        <w:t>Agency ADA Coordinator</w:t>
      </w:r>
    </w:p>
    <w:p w14:paraId="6D163F76" w14:textId="77777777" w:rsidR="00375209" w:rsidRDefault="00375209">
      <w:pPr>
        <w:pStyle w:val="BodyText"/>
        <w:spacing w:before="3"/>
        <w:rPr>
          <w:i/>
          <w:sz w:val="15"/>
        </w:rPr>
      </w:pPr>
    </w:p>
    <w:p w14:paraId="098D70F4" w14:textId="77777777" w:rsidR="00375209" w:rsidRDefault="00375209">
      <w:pPr>
        <w:pStyle w:val="BodyText"/>
        <w:rPr>
          <w:i/>
          <w:sz w:val="15"/>
        </w:rPr>
        <w:sectPr w:rsidR="00375209">
          <w:headerReference w:type="default" r:id="rId10"/>
          <w:type w:val="continuous"/>
          <w:pgSz w:w="12240" w:h="15840"/>
          <w:pgMar w:top="960" w:right="1440" w:bottom="280" w:left="1440" w:header="182" w:footer="0" w:gutter="0"/>
          <w:pgNumType w:start="1"/>
          <w:cols w:space="720"/>
        </w:sectPr>
      </w:pPr>
    </w:p>
    <w:p w14:paraId="12330773" w14:textId="006123B0" w:rsidR="00375209" w:rsidRPr="008D2A76" w:rsidRDefault="00102619">
      <w:pPr>
        <w:spacing w:before="109" w:line="243" w:lineRule="exact"/>
        <w:ind w:left="3" w:right="2703"/>
        <w:jc w:val="center"/>
        <w:rPr>
          <w:b/>
          <w:sz w:val="20"/>
          <w:lang w:val="pt-BR"/>
        </w:rPr>
      </w:pPr>
      <w:r>
        <w:rPr>
          <w:b/>
          <w:noProof/>
          <w:sz w:val="20"/>
        </w:rPr>
        <w:drawing>
          <wp:anchor distT="0" distB="0" distL="0" distR="0" simplePos="0" relativeHeight="15728640" behindDoc="0" locked="0" layoutInCell="1" allowOverlap="1" wp14:anchorId="3BF43321" wp14:editId="47369BDA">
            <wp:simplePos x="0" y="0"/>
            <wp:positionH relativeFrom="page">
              <wp:posOffset>3485745</wp:posOffset>
            </wp:positionH>
            <wp:positionV relativeFrom="paragraph">
              <wp:posOffset>5758</wp:posOffset>
            </wp:positionV>
            <wp:extent cx="819149" cy="816739"/>
            <wp:effectExtent l="0" t="0" r="635" b="254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49" cy="816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A76">
        <w:rPr>
          <w:b/>
          <w:sz w:val="20"/>
          <w:lang w:val="pt-BR"/>
        </w:rPr>
        <w:t>J</w:t>
      </w:r>
      <w:r w:rsidR="009C6FD4" w:rsidRPr="008D2A76">
        <w:rPr>
          <w:b/>
          <w:sz w:val="20"/>
          <w:lang w:val="pt-BR"/>
        </w:rPr>
        <w:t xml:space="preserve">ames T. </w:t>
      </w:r>
      <w:proofErr w:type="spellStart"/>
      <w:r w:rsidR="009C6FD4" w:rsidRPr="008D2A76">
        <w:rPr>
          <w:b/>
          <w:sz w:val="20"/>
          <w:lang w:val="pt-BR"/>
        </w:rPr>
        <w:t>Genovese</w:t>
      </w:r>
      <w:proofErr w:type="spellEnd"/>
    </w:p>
    <w:p w14:paraId="4AB19334" w14:textId="03349430" w:rsidR="00375209" w:rsidRPr="008D2A76" w:rsidRDefault="009C6FD4">
      <w:pPr>
        <w:spacing w:line="194" w:lineRule="exact"/>
        <w:ind w:left="6" w:right="2703"/>
        <w:jc w:val="center"/>
        <w:rPr>
          <w:sz w:val="16"/>
          <w:lang w:val="pt-BR"/>
        </w:rPr>
      </w:pPr>
      <w:proofErr w:type="spellStart"/>
      <w:r w:rsidRPr="008D2A76">
        <w:rPr>
          <w:spacing w:val="-2"/>
          <w:sz w:val="16"/>
          <w:lang w:val="pt-BR"/>
        </w:rPr>
        <w:t>President</w:t>
      </w:r>
      <w:proofErr w:type="spellEnd"/>
    </w:p>
    <w:p w14:paraId="19691639" w14:textId="77777777" w:rsidR="00375209" w:rsidRPr="008D2A76" w:rsidRDefault="00375209">
      <w:pPr>
        <w:pStyle w:val="BodyText"/>
        <w:spacing w:before="47"/>
        <w:rPr>
          <w:sz w:val="16"/>
          <w:lang w:val="pt-BR"/>
        </w:rPr>
      </w:pPr>
    </w:p>
    <w:p w14:paraId="6F86447F" w14:textId="03ABBB12" w:rsidR="00375209" w:rsidRPr="008D2A76" w:rsidRDefault="009C6FD4">
      <w:pPr>
        <w:spacing w:line="243" w:lineRule="exact"/>
        <w:ind w:left="8" w:right="2703"/>
        <w:jc w:val="center"/>
        <w:rPr>
          <w:b/>
          <w:sz w:val="20"/>
          <w:lang w:val="pt-BR"/>
        </w:rPr>
      </w:pPr>
      <w:r w:rsidRPr="008D2A76">
        <w:rPr>
          <w:b/>
          <w:spacing w:val="-4"/>
          <w:sz w:val="20"/>
          <w:lang w:val="pt-BR"/>
        </w:rPr>
        <w:t>Veronica M. Biscoe</w:t>
      </w:r>
    </w:p>
    <w:p w14:paraId="0CFEBA65" w14:textId="3B511384" w:rsidR="00375209" w:rsidRDefault="009C6FD4">
      <w:pPr>
        <w:spacing w:line="194" w:lineRule="exact"/>
        <w:ind w:right="2703"/>
        <w:jc w:val="center"/>
        <w:rPr>
          <w:sz w:val="16"/>
        </w:rPr>
      </w:pPr>
      <w:r>
        <w:rPr>
          <w:sz w:val="16"/>
        </w:rPr>
        <w:t xml:space="preserve">Agency ADA </w:t>
      </w:r>
      <w:proofErr w:type="spellStart"/>
      <w:r>
        <w:rPr>
          <w:sz w:val="16"/>
        </w:rPr>
        <w:t>Coodinator</w:t>
      </w:r>
      <w:proofErr w:type="spellEnd"/>
      <w:r>
        <w:rPr>
          <w:sz w:val="16"/>
        </w:rPr>
        <w:t xml:space="preserve"> (ADAC)</w:t>
      </w:r>
    </w:p>
    <w:p w14:paraId="23416AB7" w14:textId="77777777" w:rsidR="00375209" w:rsidRDefault="00375209">
      <w:pPr>
        <w:pStyle w:val="BodyText"/>
        <w:rPr>
          <w:sz w:val="16"/>
        </w:rPr>
      </w:pPr>
    </w:p>
    <w:p w14:paraId="1FA7C6E6" w14:textId="77777777" w:rsidR="00375209" w:rsidRDefault="00375209">
      <w:pPr>
        <w:pStyle w:val="BodyText"/>
        <w:rPr>
          <w:sz w:val="16"/>
        </w:rPr>
      </w:pPr>
    </w:p>
    <w:p w14:paraId="028625EC" w14:textId="77777777" w:rsidR="00375209" w:rsidRDefault="00375209">
      <w:pPr>
        <w:pStyle w:val="BodyText"/>
        <w:rPr>
          <w:sz w:val="16"/>
        </w:rPr>
      </w:pPr>
    </w:p>
    <w:p w14:paraId="6F698355" w14:textId="77777777" w:rsidR="00375209" w:rsidRDefault="00375209">
      <w:pPr>
        <w:pStyle w:val="BodyText"/>
        <w:spacing w:before="80"/>
        <w:rPr>
          <w:sz w:val="16"/>
        </w:rPr>
      </w:pPr>
    </w:p>
    <w:p w14:paraId="3DE0415A" w14:textId="39449D6C" w:rsidR="00375209" w:rsidRPr="00775818" w:rsidRDefault="00E632D6" w:rsidP="00775818">
      <w:pPr>
        <w:pStyle w:val="Heading1"/>
      </w:pPr>
      <w:bookmarkStart w:id="0" w:name="DOA_Web_Accessibility_Policy"/>
      <w:bookmarkEnd w:id="0"/>
      <w:r>
        <w:t>NSU</w:t>
      </w:r>
      <w:r w:rsidRPr="00775818">
        <w:t xml:space="preserve"> </w:t>
      </w:r>
      <w:r w:rsidR="00CF1192">
        <w:t>Digital</w:t>
      </w:r>
      <w:r w:rsidRPr="00775818">
        <w:t xml:space="preserve"> Accessibility Policy</w:t>
      </w:r>
    </w:p>
    <w:p w14:paraId="5F37F2A2" w14:textId="0BBDD8B4" w:rsidR="00375209" w:rsidRDefault="00102619">
      <w:pPr>
        <w:pStyle w:val="BodyText"/>
        <w:spacing w:before="120"/>
      </w:pPr>
      <w:r>
        <w:t>Eﬀective</w:t>
      </w:r>
      <w:r>
        <w:rPr>
          <w:spacing w:val="-9"/>
        </w:rPr>
        <w:t xml:space="preserve"> </w:t>
      </w:r>
      <w:r>
        <w:t>Date:</w:t>
      </w:r>
      <w:r>
        <w:rPr>
          <w:spacing w:val="-7"/>
        </w:rPr>
        <w:t xml:space="preserve"> </w:t>
      </w:r>
      <w:r w:rsidR="008609E1">
        <w:t>March 31</w:t>
      </w:r>
      <w:r>
        <w:t>,</w:t>
      </w:r>
      <w:r>
        <w:rPr>
          <w:spacing w:val="-7"/>
        </w:rPr>
        <w:t xml:space="preserve"> </w:t>
      </w:r>
      <w:r>
        <w:rPr>
          <w:spacing w:val="-4"/>
        </w:rPr>
        <w:t>2026</w:t>
      </w:r>
    </w:p>
    <w:p w14:paraId="006421FF" w14:textId="77777777" w:rsidR="00375209" w:rsidRDefault="00375209">
      <w:pPr>
        <w:pStyle w:val="BodyText"/>
        <w:spacing w:before="67"/>
      </w:pPr>
    </w:p>
    <w:p w14:paraId="1C78F1C1" w14:textId="77777777" w:rsidR="00375209" w:rsidRDefault="00102619">
      <w:pPr>
        <w:pStyle w:val="Heading2"/>
        <w:numPr>
          <w:ilvl w:val="0"/>
          <w:numId w:val="1"/>
        </w:numPr>
        <w:tabs>
          <w:tab w:val="left" w:pos="719"/>
        </w:tabs>
        <w:ind w:left="719" w:hanging="719"/>
      </w:pPr>
      <w:bookmarkStart w:id="1" w:name="I._Purpose"/>
      <w:bookmarkEnd w:id="1"/>
      <w:r>
        <w:rPr>
          <w:color w:val="2E5395"/>
          <w:spacing w:val="-2"/>
        </w:rPr>
        <w:t>Purpose</w:t>
      </w:r>
    </w:p>
    <w:p w14:paraId="66DF42D8" w14:textId="6BB82C1D" w:rsidR="00375209" w:rsidRDefault="00102619" w:rsidP="008609E1">
      <w:pPr>
        <w:spacing w:before="59" w:line="180" w:lineRule="auto"/>
        <w:ind w:right="144"/>
        <w:jc w:val="center"/>
        <w:rPr>
          <w:b/>
          <w:sz w:val="20"/>
        </w:rPr>
      </w:pPr>
      <w:r>
        <w:br w:type="column"/>
      </w:r>
      <w:r w:rsidR="008609E1" w:rsidRPr="008609E1">
        <w:rPr>
          <w:b/>
          <w:sz w:val="20"/>
        </w:rPr>
        <w:t>Institutional Effectiveness &amp; Human Resources</w:t>
      </w:r>
    </w:p>
    <w:p w14:paraId="1E143682" w14:textId="1FB03982" w:rsidR="00375209" w:rsidRDefault="008609E1">
      <w:pPr>
        <w:spacing w:line="194" w:lineRule="exact"/>
        <w:ind w:left="729"/>
        <w:rPr>
          <w:spacing w:val="-4"/>
          <w:sz w:val="16"/>
        </w:rPr>
      </w:pPr>
      <w:r>
        <w:rPr>
          <w:spacing w:val="-4"/>
          <w:sz w:val="16"/>
        </w:rPr>
        <w:t>111 Caspari Hall</w:t>
      </w:r>
    </w:p>
    <w:p w14:paraId="2A39F4B5" w14:textId="0C6D7CED" w:rsidR="008609E1" w:rsidRDefault="008609E1" w:rsidP="008609E1">
      <w:pPr>
        <w:spacing w:before="1"/>
        <w:ind w:left="-270" w:right="-170"/>
        <w:jc w:val="center"/>
        <w:rPr>
          <w:sz w:val="16"/>
        </w:rPr>
      </w:pPr>
      <w:r>
        <w:rPr>
          <w:spacing w:val="-4"/>
          <w:sz w:val="16"/>
        </w:rPr>
        <w:t>Northwestern State University of Louisiana</w:t>
      </w:r>
    </w:p>
    <w:p w14:paraId="17AE7A80" w14:textId="55917168" w:rsidR="00375209" w:rsidRDefault="008609E1" w:rsidP="008609E1">
      <w:pPr>
        <w:spacing w:before="1"/>
        <w:ind w:left="-1" w:right="199"/>
        <w:jc w:val="center"/>
        <w:rPr>
          <w:sz w:val="16"/>
        </w:rPr>
        <w:sectPr w:rsidR="00375209">
          <w:type w:val="continuous"/>
          <w:pgSz w:w="12240" w:h="15840"/>
          <w:pgMar w:top="960" w:right="1440" w:bottom="280" w:left="1440" w:header="182" w:footer="0" w:gutter="0"/>
          <w:cols w:num="2" w:space="720" w:equalWidth="0">
            <w:col w:w="5340" w:space="1490"/>
            <w:col w:w="2530"/>
          </w:cols>
        </w:sectPr>
      </w:pPr>
      <w:r>
        <w:rPr>
          <w:sz w:val="16"/>
        </w:rPr>
        <w:t>Natchitoches,</w:t>
      </w:r>
      <w:r>
        <w:rPr>
          <w:spacing w:val="-9"/>
          <w:sz w:val="16"/>
        </w:rPr>
        <w:t xml:space="preserve"> </w:t>
      </w:r>
      <w:r>
        <w:rPr>
          <w:sz w:val="16"/>
        </w:rPr>
        <w:t>Louisiana</w:t>
      </w:r>
      <w:r>
        <w:rPr>
          <w:spacing w:val="-9"/>
          <w:sz w:val="16"/>
        </w:rPr>
        <w:t xml:space="preserve"> 71497</w:t>
      </w:r>
      <w:r>
        <w:rPr>
          <w:spacing w:val="40"/>
          <w:sz w:val="16"/>
        </w:rPr>
        <w:t xml:space="preserve"> </w:t>
      </w:r>
      <w:r>
        <w:rPr>
          <w:sz w:val="16"/>
        </w:rPr>
        <w:t>Phone (318) 357-6359</w:t>
      </w:r>
    </w:p>
    <w:p w14:paraId="1B9E46DC" w14:textId="77777777" w:rsidR="00375209" w:rsidRDefault="00102619">
      <w:pPr>
        <w:pStyle w:val="BodyText"/>
        <w:spacing w:before="240" w:line="242" w:lineRule="auto"/>
        <w:ind w:left="720"/>
      </w:pP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purpose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this</w:t>
      </w:r>
      <w:r>
        <w:rPr>
          <w:spacing w:val="-13"/>
        </w:rPr>
        <w:t xml:space="preserve"> </w:t>
      </w:r>
      <w:r>
        <w:rPr>
          <w:spacing w:val="-4"/>
        </w:rPr>
        <w:t>policy</w:t>
      </w:r>
      <w:r>
        <w:rPr>
          <w:spacing w:val="-14"/>
        </w:rPr>
        <w:t xml:space="preserve"> </w:t>
      </w:r>
      <w:r>
        <w:rPr>
          <w:spacing w:val="-4"/>
        </w:rPr>
        <w:t>is</w:t>
      </w:r>
      <w:r>
        <w:rPr>
          <w:spacing w:val="-13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ensure</w:t>
      </w:r>
      <w:r>
        <w:rPr>
          <w:spacing w:val="-10"/>
        </w:rPr>
        <w:t xml:space="preserve"> </w:t>
      </w:r>
      <w:r>
        <w:rPr>
          <w:spacing w:val="-4"/>
        </w:rPr>
        <w:t>web</w:t>
      </w:r>
      <w:r>
        <w:rPr>
          <w:spacing w:val="-12"/>
        </w:rPr>
        <w:t xml:space="preserve"> </w:t>
      </w:r>
      <w:r>
        <w:rPr>
          <w:spacing w:val="-4"/>
        </w:rPr>
        <w:t>accessibility</w:t>
      </w:r>
      <w:r>
        <w:rPr>
          <w:spacing w:val="-14"/>
        </w:rPr>
        <w:t xml:space="preserve"> </w:t>
      </w:r>
      <w:r>
        <w:rPr>
          <w:spacing w:val="-4"/>
        </w:rPr>
        <w:t>compliance</w:t>
      </w:r>
      <w:r>
        <w:t xml:space="preserve"> </w:t>
      </w:r>
      <w:r>
        <w:rPr>
          <w:spacing w:val="-4"/>
        </w:rPr>
        <w:t>in</w:t>
      </w:r>
      <w:r>
        <w:t xml:space="preserve"> </w:t>
      </w:r>
      <w:r>
        <w:rPr>
          <w:spacing w:val="-4"/>
        </w:rPr>
        <w:t>accordance</w:t>
      </w:r>
      <w:r>
        <w:t xml:space="preserve"> </w:t>
      </w:r>
      <w:r>
        <w:rPr>
          <w:spacing w:val="-4"/>
        </w:rPr>
        <w:t xml:space="preserve">with </w:t>
      </w:r>
      <w:r>
        <w:t>federal and state regulations.</w:t>
      </w:r>
    </w:p>
    <w:p w14:paraId="22112EE7" w14:textId="77777777" w:rsidR="00375209" w:rsidRDefault="00102619">
      <w:pPr>
        <w:pStyle w:val="Heading2"/>
        <w:numPr>
          <w:ilvl w:val="0"/>
          <w:numId w:val="1"/>
        </w:numPr>
        <w:tabs>
          <w:tab w:val="left" w:pos="719"/>
        </w:tabs>
        <w:spacing w:before="236"/>
        <w:ind w:left="719" w:hanging="719"/>
      </w:pPr>
      <w:bookmarkStart w:id="2" w:name="II._References"/>
      <w:bookmarkEnd w:id="2"/>
      <w:r>
        <w:rPr>
          <w:color w:val="2E5395"/>
          <w:spacing w:val="-2"/>
        </w:rPr>
        <w:t>References</w:t>
      </w:r>
    </w:p>
    <w:p w14:paraId="08412A9D" w14:textId="77777777" w:rsidR="00375209" w:rsidRDefault="00375209">
      <w:pPr>
        <w:pStyle w:val="BodyText"/>
        <w:spacing w:before="239"/>
        <w:ind w:left="720"/>
      </w:pPr>
      <w:hyperlink r:id="rId12">
        <w:r>
          <w:rPr>
            <w:color w:val="0562C1"/>
            <w:u w:val="single" w:color="0562C1"/>
          </w:rPr>
          <w:t>28</w:t>
        </w:r>
        <w:r>
          <w:rPr>
            <w:color w:val="0562C1"/>
            <w:spacing w:val="-1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CFR</w:t>
        </w:r>
        <w:r>
          <w:rPr>
            <w:color w:val="0562C1"/>
            <w:spacing w:val="-2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Part</w:t>
        </w:r>
        <w:r>
          <w:rPr>
            <w:color w:val="0562C1"/>
            <w:spacing w:val="-2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35,</w:t>
        </w:r>
        <w:r>
          <w:rPr>
            <w:color w:val="0562C1"/>
            <w:spacing w:val="-4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Subpart</w:t>
        </w:r>
        <w:r>
          <w:rPr>
            <w:color w:val="0562C1"/>
            <w:spacing w:val="-4"/>
            <w:u w:val="single" w:color="0562C1"/>
          </w:rPr>
          <w:t xml:space="preserve"> </w:t>
        </w:r>
        <w:r>
          <w:rPr>
            <w:color w:val="0562C1"/>
            <w:spacing w:val="-5"/>
            <w:u w:val="single" w:color="0562C1"/>
          </w:rPr>
          <w:t>H</w:t>
        </w:r>
      </w:hyperlink>
      <w:r>
        <w:rPr>
          <w:spacing w:val="-5"/>
        </w:rPr>
        <w:t>;</w:t>
      </w:r>
    </w:p>
    <w:p w14:paraId="470C8294" w14:textId="77777777" w:rsidR="00375209" w:rsidRDefault="00375209">
      <w:pPr>
        <w:pStyle w:val="BodyText"/>
        <w:ind w:left="720"/>
      </w:pPr>
      <w:hyperlink r:id="rId13">
        <w:r>
          <w:rPr>
            <w:color w:val="0562C1"/>
            <w:u w:val="single" w:color="0562C1"/>
          </w:rPr>
          <w:t>PPM</w:t>
        </w:r>
        <w:r>
          <w:rPr>
            <w:color w:val="0562C1"/>
            <w:spacing w:val="-5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74</w:t>
        </w:r>
        <w:r>
          <w:rPr>
            <w:color w:val="0562C1"/>
            <w:spacing w:val="-5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–</w:t>
        </w:r>
        <w:r>
          <w:rPr>
            <w:color w:val="0562C1"/>
            <w:spacing w:val="-3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Web</w:t>
        </w:r>
        <w:r>
          <w:rPr>
            <w:color w:val="0562C1"/>
            <w:spacing w:val="-3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Accessibility</w:t>
        </w:r>
        <w:r>
          <w:rPr>
            <w:color w:val="0562C1"/>
            <w:spacing w:val="-3"/>
            <w:u w:val="single" w:color="0562C1"/>
          </w:rPr>
          <w:t xml:space="preserve"> </w:t>
        </w:r>
        <w:r>
          <w:rPr>
            <w:color w:val="0562C1"/>
            <w:spacing w:val="-2"/>
            <w:u w:val="single" w:color="0562C1"/>
          </w:rPr>
          <w:t>Compliance</w:t>
        </w:r>
      </w:hyperlink>
      <w:r>
        <w:rPr>
          <w:spacing w:val="-2"/>
        </w:rPr>
        <w:t>.</w:t>
      </w:r>
    </w:p>
    <w:p w14:paraId="45FA54C9" w14:textId="77777777" w:rsidR="00375209" w:rsidRDefault="00102619">
      <w:pPr>
        <w:pStyle w:val="Heading2"/>
        <w:numPr>
          <w:ilvl w:val="0"/>
          <w:numId w:val="1"/>
        </w:numPr>
        <w:tabs>
          <w:tab w:val="left" w:pos="719"/>
        </w:tabs>
        <w:spacing w:before="240"/>
        <w:ind w:left="719" w:hanging="719"/>
      </w:pPr>
      <w:bookmarkStart w:id="3" w:name="III._Applicability"/>
      <w:bookmarkEnd w:id="3"/>
      <w:r>
        <w:rPr>
          <w:color w:val="2E5395"/>
          <w:spacing w:val="-2"/>
        </w:rPr>
        <w:t>Applicability</w:t>
      </w:r>
    </w:p>
    <w:p w14:paraId="2F9387E0" w14:textId="56EF23A8" w:rsidR="00375209" w:rsidRDefault="00102619" w:rsidP="00CF1192">
      <w:pPr>
        <w:pStyle w:val="BodyText"/>
        <w:spacing w:before="239"/>
        <w:ind w:left="720" w:right="81"/>
      </w:pPr>
      <w:r>
        <w:t>This</w:t>
      </w:r>
      <w:r>
        <w:rPr>
          <w:spacing w:val="-6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applies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 w:rsidR="008609E1">
        <w:t>NSU</w:t>
      </w:r>
      <w:r>
        <w:rPr>
          <w:spacing w:val="-3"/>
        </w:rPr>
        <w:t xml:space="preserve"> </w:t>
      </w:r>
      <w:r w:rsidR="00E0353B">
        <w:t>units</w:t>
      </w:r>
      <w:r>
        <w:t>.</w:t>
      </w:r>
      <w:r>
        <w:rPr>
          <w:spacing w:val="-5"/>
        </w:rPr>
        <w:t xml:space="preserve"> </w:t>
      </w:r>
      <w:r>
        <w:t>Most</w:t>
      </w:r>
      <w:r>
        <w:rPr>
          <w:spacing w:val="-7"/>
        </w:rPr>
        <w:t xml:space="preserve"> </w:t>
      </w:r>
      <w:r w:rsidR="008609E1">
        <w:t>NSU</w:t>
      </w:r>
      <w:r>
        <w:rPr>
          <w:spacing w:val="-6"/>
        </w:rPr>
        <w:t xml:space="preserve"> </w:t>
      </w:r>
      <w:r w:rsidR="00E0353B">
        <w:t>units</w:t>
      </w:r>
      <w:r>
        <w:rPr>
          <w:spacing w:val="-4"/>
        </w:rPr>
        <w:t xml:space="preserve"> </w:t>
      </w:r>
      <w:r>
        <w:t>utilize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8609E1">
        <w:t>NSULA.edu</w:t>
      </w:r>
      <w:r>
        <w:rPr>
          <w:spacing w:val="-4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 xml:space="preserve">as its main (or only) web property. However, some </w:t>
      </w:r>
      <w:r w:rsidR="00E0353B">
        <w:t>units</w:t>
      </w:r>
      <w:r>
        <w:t xml:space="preserve"> have opted to have their own website(s) separate from the </w:t>
      </w:r>
      <w:r w:rsidR="008609E1">
        <w:t>NSULA.edu</w:t>
      </w:r>
      <w:r>
        <w:t xml:space="preserve"> site. Whether centralized under or independent of the </w:t>
      </w:r>
      <w:r w:rsidR="008609E1">
        <w:t>NSULA.edu</w:t>
      </w:r>
      <w:r>
        <w:t xml:space="preserve"> website, all websites representing </w:t>
      </w:r>
      <w:r w:rsidR="008609E1">
        <w:t>NSU</w:t>
      </w:r>
      <w:r>
        <w:t xml:space="preserve"> shall comply with the following policy requirements.</w:t>
      </w:r>
    </w:p>
    <w:p w14:paraId="49D06295" w14:textId="77777777" w:rsidR="00375209" w:rsidRDefault="00102619">
      <w:pPr>
        <w:pStyle w:val="Heading2"/>
        <w:numPr>
          <w:ilvl w:val="0"/>
          <w:numId w:val="1"/>
        </w:numPr>
        <w:tabs>
          <w:tab w:val="left" w:pos="719"/>
        </w:tabs>
        <w:spacing w:before="242"/>
        <w:ind w:left="719" w:hanging="719"/>
      </w:pPr>
      <w:bookmarkStart w:id="4" w:name="IV._Definitions"/>
      <w:bookmarkEnd w:id="4"/>
      <w:r>
        <w:rPr>
          <w:color w:val="2E5395"/>
          <w:spacing w:val="-2"/>
        </w:rPr>
        <w:t>Deﬁnitions</w:t>
      </w:r>
    </w:p>
    <w:p w14:paraId="5A62CF89" w14:textId="77777777" w:rsidR="00375209" w:rsidRDefault="00102619">
      <w:pPr>
        <w:pStyle w:val="BodyText"/>
        <w:spacing w:before="239"/>
        <w:ind w:left="720"/>
      </w:pPr>
      <w:r>
        <w:rPr>
          <w:i/>
        </w:rPr>
        <w:t>Web</w:t>
      </w:r>
      <w:r>
        <w:rPr>
          <w:i/>
          <w:spacing w:val="-7"/>
        </w:rPr>
        <w:t xml:space="preserve"> </w:t>
      </w:r>
      <w:r>
        <w:rPr>
          <w:i/>
        </w:rPr>
        <w:t>Content</w:t>
      </w:r>
      <w:r>
        <w:rPr>
          <w:i/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sensory</w:t>
      </w:r>
      <w:r>
        <w:rPr>
          <w:spacing w:val="-6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t>communicated</w:t>
      </w:r>
      <w:r>
        <w:rPr>
          <w:spacing w:val="-7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user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 xml:space="preserve">a website or mobile application. This may be achieved </w:t>
      </w:r>
      <w:proofErr w:type="gramStart"/>
      <w:r>
        <w:t>through the use of</w:t>
      </w:r>
      <w:proofErr w:type="gramEnd"/>
      <w:r>
        <w:t xml:space="preserve"> text, images, sound, videos, linked documents, and social media posts.</w:t>
      </w:r>
    </w:p>
    <w:p w14:paraId="1BC099B5" w14:textId="77777777" w:rsidR="00375209" w:rsidRDefault="00102619">
      <w:pPr>
        <w:spacing w:before="240"/>
        <w:ind w:left="719"/>
        <w:rPr>
          <w:sz w:val="24"/>
        </w:rPr>
      </w:pPr>
      <w:r>
        <w:rPr>
          <w:i/>
          <w:sz w:val="24"/>
        </w:rPr>
        <w:t xml:space="preserve">Web Content Accessibility Guidelines (WCAG) </w:t>
      </w:r>
      <w:r>
        <w:rPr>
          <w:sz w:val="24"/>
        </w:rPr>
        <w:t>– a set of technical standards for web content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mobile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5"/>
          <w:sz w:val="24"/>
        </w:rPr>
        <w:t xml:space="preserve"> </w:t>
      </w:r>
      <w:r>
        <w:rPr>
          <w:sz w:val="24"/>
        </w:rPr>
        <w:t>so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they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accessible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people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disabilities.</w:t>
      </w:r>
    </w:p>
    <w:p w14:paraId="04D887ED" w14:textId="50F28AB6" w:rsidR="00375209" w:rsidRDefault="00102619" w:rsidP="00775818">
      <w:pPr>
        <w:pStyle w:val="BodyText"/>
        <w:spacing w:before="239"/>
        <w:ind w:left="719"/>
        <w:sectPr w:rsidR="00375209">
          <w:type w:val="continuous"/>
          <w:pgSz w:w="12240" w:h="15840"/>
          <w:pgMar w:top="960" w:right="1440" w:bottom="280" w:left="1440" w:header="182" w:footer="0" w:gutter="0"/>
          <w:cols w:space="720"/>
        </w:sectPr>
      </w:pPr>
      <w:r>
        <w:rPr>
          <w:i/>
        </w:rPr>
        <w:t>Web</w:t>
      </w:r>
      <w:r>
        <w:rPr>
          <w:i/>
          <w:spacing w:val="-5"/>
        </w:rPr>
        <w:t xml:space="preserve"> </w:t>
      </w:r>
      <w:r>
        <w:rPr>
          <w:i/>
        </w:rPr>
        <w:t>Properties</w:t>
      </w:r>
      <w:r>
        <w:rPr>
          <w:i/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various</w:t>
      </w:r>
      <w:r>
        <w:rPr>
          <w:spacing w:val="-4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presence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web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 w:rsidR="00775818">
        <w:t>NSU</w:t>
      </w:r>
      <w:r>
        <w:rPr>
          <w:spacing w:val="-3"/>
        </w:rPr>
        <w:t xml:space="preserve"> </w:t>
      </w:r>
      <w:r>
        <w:t>Oﬃce</w:t>
      </w:r>
      <w:r>
        <w:rPr>
          <w:spacing w:val="-3"/>
        </w:rPr>
        <w:t xml:space="preserve"> </w:t>
      </w:r>
      <w:r>
        <w:t>uses</w:t>
      </w:r>
      <w:r>
        <w:rPr>
          <w:spacing w:val="-6"/>
        </w:rPr>
        <w:t xml:space="preserve"> </w:t>
      </w:r>
      <w:r>
        <w:t xml:space="preserve">to represent itself. This may include websites, mobile applications, </w:t>
      </w:r>
      <w:r w:rsidR="00CF1192">
        <w:t xml:space="preserve">learning management system content, </w:t>
      </w:r>
      <w:r>
        <w:t>and social media accounts that serve diﬀerent purposes or audiences.</w:t>
      </w:r>
    </w:p>
    <w:p w14:paraId="01E35070" w14:textId="77777777" w:rsidR="00375209" w:rsidRDefault="00375209">
      <w:pPr>
        <w:pStyle w:val="BodyText"/>
        <w:spacing w:before="161"/>
        <w:rPr>
          <w:sz w:val="26"/>
        </w:rPr>
      </w:pPr>
    </w:p>
    <w:p w14:paraId="08919B27" w14:textId="77777777" w:rsidR="00375209" w:rsidRDefault="00102619">
      <w:pPr>
        <w:pStyle w:val="Heading2"/>
        <w:numPr>
          <w:ilvl w:val="0"/>
          <w:numId w:val="1"/>
        </w:numPr>
        <w:tabs>
          <w:tab w:val="left" w:pos="719"/>
        </w:tabs>
        <w:ind w:left="719" w:hanging="719"/>
      </w:pPr>
      <w:bookmarkStart w:id="5" w:name="V._Policy"/>
      <w:bookmarkEnd w:id="5"/>
      <w:r>
        <w:rPr>
          <w:color w:val="2E5395"/>
          <w:spacing w:val="-2"/>
        </w:rPr>
        <w:t>Policy</w:t>
      </w:r>
    </w:p>
    <w:p w14:paraId="54F9DF11" w14:textId="77777777" w:rsidR="00375209" w:rsidRDefault="00102619">
      <w:pPr>
        <w:pStyle w:val="ListParagraph"/>
        <w:numPr>
          <w:ilvl w:val="1"/>
          <w:numId w:val="1"/>
        </w:numPr>
        <w:tabs>
          <w:tab w:val="left" w:pos="1078"/>
        </w:tabs>
        <w:spacing w:before="237"/>
        <w:ind w:left="1078" w:hanging="358"/>
        <w:rPr>
          <w:sz w:val="24"/>
        </w:rPr>
      </w:pPr>
      <w:bookmarkStart w:id="6" w:name="A._Content_Standards"/>
      <w:bookmarkEnd w:id="6"/>
      <w:r>
        <w:rPr>
          <w:color w:val="44536A"/>
          <w:w w:val="105"/>
          <w:sz w:val="24"/>
        </w:rPr>
        <w:t>Content</w:t>
      </w:r>
      <w:r>
        <w:rPr>
          <w:color w:val="44536A"/>
          <w:spacing w:val="45"/>
          <w:w w:val="105"/>
          <w:sz w:val="24"/>
        </w:rPr>
        <w:t xml:space="preserve"> </w:t>
      </w:r>
      <w:r>
        <w:rPr>
          <w:color w:val="44536A"/>
          <w:spacing w:val="-2"/>
          <w:w w:val="105"/>
          <w:sz w:val="24"/>
        </w:rPr>
        <w:t>Standards</w:t>
      </w:r>
    </w:p>
    <w:p w14:paraId="10EF6CFB" w14:textId="3E493CFC" w:rsidR="00375209" w:rsidRDefault="00102619">
      <w:pPr>
        <w:pStyle w:val="BodyText"/>
        <w:spacing w:before="242"/>
        <w:ind w:left="1080"/>
      </w:pPr>
      <w:r>
        <w:t>At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minimum,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 w:rsidR="00775818">
        <w:t>NSU</w:t>
      </w:r>
      <w:r>
        <w:rPr>
          <w:spacing w:val="-6"/>
        </w:rPr>
        <w:t xml:space="preserve"> </w:t>
      </w:r>
      <w:r>
        <w:t>web</w:t>
      </w:r>
      <w:r>
        <w:rPr>
          <w:spacing w:val="-4"/>
        </w:rPr>
        <w:t xml:space="preserve"> </w:t>
      </w:r>
      <w:r>
        <w:t>properties</w:t>
      </w:r>
      <w:r>
        <w:rPr>
          <w:spacing w:val="-4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comply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hyperlink r:id="rId14">
        <w:r w:rsidR="00375209">
          <w:rPr>
            <w:color w:val="0562C1"/>
            <w:u w:val="single" w:color="0562C1"/>
          </w:rPr>
          <w:t>WCAG</w:t>
        </w:r>
        <w:r w:rsidR="00375209">
          <w:rPr>
            <w:color w:val="0562C1"/>
            <w:spacing w:val="-3"/>
            <w:u w:val="single" w:color="0562C1"/>
          </w:rPr>
          <w:t xml:space="preserve"> </w:t>
        </w:r>
        <w:r w:rsidR="00375209">
          <w:rPr>
            <w:color w:val="0562C1"/>
            <w:u w:val="single" w:color="0562C1"/>
          </w:rPr>
          <w:t>2.1</w:t>
        </w:r>
      </w:hyperlink>
      <w:r>
        <w:t>,</w:t>
      </w:r>
      <w:r>
        <w:rPr>
          <w:spacing w:val="-3"/>
        </w:rPr>
        <w:t xml:space="preserve"> </w:t>
      </w:r>
      <w:r>
        <w:t>Level</w:t>
      </w:r>
      <w:r>
        <w:rPr>
          <w:spacing w:val="-5"/>
        </w:rPr>
        <w:t xml:space="preserve"> AA.</w:t>
      </w:r>
    </w:p>
    <w:p w14:paraId="4C348D42" w14:textId="77777777" w:rsidR="00375209" w:rsidRDefault="00102619">
      <w:pPr>
        <w:pStyle w:val="ListParagraph"/>
        <w:numPr>
          <w:ilvl w:val="1"/>
          <w:numId w:val="1"/>
        </w:numPr>
        <w:tabs>
          <w:tab w:val="left" w:pos="1078"/>
        </w:tabs>
        <w:spacing w:before="237"/>
        <w:ind w:left="1078" w:hanging="358"/>
        <w:rPr>
          <w:sz w:val="24"/>
        </w:rPr>
      </w:pPr>
      <w:bookmarkStart w:id="7" w:name="B._Accessibility_Statement"/>
      <w:bookmarkEnd w:id="7"/>
      <w:r>
        <w:rPr>
          <w:color w:val="44536A"/>
          <w:spacing w:val="8"/>
          <w:w w:val="105"/>
          <w:sz w:val="24"/>
        </w:rPr>
        <w:t>Accessibility</w:t>
      </w:r>
      <w:r>
        <w:rPr>
          <w:color w:val="44536A"/>
          <w:spacing w:val="30"/>
          <w:w w:val="105"/>
          <w:sz w:val="24"/>
        </w:rPr>
        <w:t xml:space="preserve"> </w:t>
      </w:r>
      <w:r>
        <w:rPr>
          <w:color w:val="44536A"/>
          <w:spacing w:val="-2"/>
          <w:w w:val="105"/>
          <w:sz w:val="24"/>
        </w:rPr>
        <w:t>Statement</w:t>
      </w:r>
    </w:p>
    <w:p w14:paraId="171C0009" w14:textId="77777777" w:rsidR="00375209" w:rsidRDefault="00102619">
      <w:pPr>
        <w:pStyle w:val="BodyText"/>
        <w:spacing w:before="243" w:line="242" w:lineRule="auto"/>
        <w:ind w:left="1080"/>
      </w:pPr>
      <w:r>
        <w:t>There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Accessibility</w:t>
      </w:r>
      <w:r>
        <w:rPr>
          <w:spacing w:val="-6"/>
        </w:rPr>
        <w:t xml:space="preserve"> </w:t>
      </w:r>
      <w:r>
        <w:t>Statement</w:t>
      </w:r>
      <w:r>
        <w:rPr>
          <w:spacing w:val="-7"/>
        </w:rPr>
        <w:t xml:space="preserve"> </w:t>
      </w:r>
      <w:r>
        <w:t>linked</w:t>
      </w:r>
      <w:r>
        <w:rPr>
          <w:spacing w:val="-7"/>
        </w:rPr>
        <w:t xml:space="preserve"> </w:t>
      </w:r>
      <w:r>
        <w:t>directly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home</w:t>
      </w:r>
      <w:r>
        <w:rPr>
          <w:spacing w:val="-7"/>
        </w:rPr>
        <w:t xml:space="preserve"> </w:t>
      </w:r>
      <w:r>
        <w:t>page</w:t>
      </w:r>
      <w:r>
        <w:rPr>
          <w:spacing w:val="-6"/>
        </w:rPr>
        <w:t xml:space="preserve"> </w:t>
      </w:r>
      <w:r>
        <w:t>that includes the following:</w:t>
      </w:r>
    </w:p>
    <w:p w14:paraId="283A11B1" w14:textId="77777777" w:rsidR="00375209" w:rsidRDefault="00102619">
      <w:pPr>
        <w:pStyle w:val="ListParagraph"/>
        <w:numPr>
          <w:ilvl w:val="2"/>
          <w:numId w:val="1"/>
        </w:numPr>
        <w:tabs>
          <w:tab w:val="left" w:pos="1800"/>
        </w:tabs>
        <w:spacing w:before="236"/>
        <w:ind w:right="74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commitment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making</w:t>
      </w:r>
      <w:r>
        <w:rPr>
          <w:spacing w:val="-6"/>
          <w:sz w:val="24"/>
        </w:rPr>
        <w:t xml:space="preserve"> </w:t>
      </w:r>
      <w:r>
        <w:rPr>
          <w:sz w:val="24"/>
        </w:rPr>
        <w:t>web</w:t>
      </w:r>
      <w:r>
        <w:rPr>
          <w:spacing w:val="-7"/>
          <w:sz w:val="24"/>
        </w:rPr>
        <w:t xml:space="preserve"> </w:t>
      </w:r>
      <w:r>
        <w:rPr>
          <w:sz w:val="24"/>
        </w:rPr>
        <w:t>content</w:t>
      </w:r>
      <w:r>
        <w:rPr>
          <w:spacing w:val="-7"/>
          <w:sz w:val="24"/>
        </w:rPr>
        <w:t xml:space="preserve"> </w:t>
      </w:r>
      <w:r>
        <w:rPr>
          <w:sz w:val="24"/>
        </w:rPr>
        <w:t>accessible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people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disabilities; </w:t>
      </w:r>
      <w:r>
        <w:rPr>
          <w:spacing w:val="-4"/>
          <w:sz w:val="24"/>
        </w:rPr>
        <w:t>and,</w:t>
      </w:r>
    </w:p>
    <w:p w14:paraId="56C58486" w14:textId="73CAD8C8" w:rsidR="00375209" w:rsidRDefault="00102619">
      <w:pPr>
        <w:pStyle w:val="ListParagraph"/>
        <w:numPr>
          <w:ilvl w:val="2"/>
          <w:numId w:val="1"/>
        </w:numPr>
        <w:tabs>
          <w:tab w:val="left" w:pos="1799"/>
        </w:tabs>
        <w:ind w:left="1799" w:right="257"/>
        <w:rPr>
          <w:sz w:val="24"/>
        </w:rPr>
      </w:pPr>
      <w:r>
        <w:rPr>
          <w:sz w:val="24"/>
        </w:rPr>
        <w:t>The name, email address and telephone number of the Web Accessibility Designee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 w:rsidR="00775818">
        <w:rPr>
          <w:sz w:val="24"/>
        </w:rPr>
        <w:t>NSU</w:t>
      </w:r>
      <w:r>
        <w:rPr>
          <w:spacing w:val="-7"/>
          <w:sz w:val="24"/>
        </w:rPr>
        <w:t xml:space="preserve"> </w:t>
      </w:r>
      <w:r>
        <w:rPr>
          <w:sz w:val="24"/>
        </w:rPr>
        <w:t>Oﬃce,</w:t>
      </w:r>
      <w:r>
        <w:rPr>
          <w:spacing w:val="-4"/>
          <w:sz w:val="24"/>
        </w:rPr>
        <w:t xml:space="preserve"> </w:t>
      </w:r>
      <w:r>
        <w:rPr>
          <w:sz w:val="24"/>
        </w:rPr>
        <w:t>so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people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disabilities</w:t>
      </w:r>
      <w:r>
        <w:rPr>
          <w:spacing w:val="-5"/>
          <w:sz w:val="24"/>
        </w:rPr>
        <w:t xml:space="preserve"> </w:t>
      </w:r>
      <w:r>
        <w:rPr>
          <w:sz w:val="24"/>
        </w:rPr>
        <w:t>know</w:t>
      </w:r>
      <w:r>
        <w:rPr>
          <w:spacing w:val="-6"/>
          <w:sz w:val="24"/>
        </w:rPr>
        <w:t xml:space="preserve"> </w:t>
      </w:r>
      <w:r>
        <w:rPr>
          <w:sz w:val="24"/>
        </w:rPr>
        <w:t>how</w:t>
      </w:r>
      <w:r>
        <w:rPr>
          <w:spacing w:val="-6"/>
          <w:sz w:val="24"/>
        </w:rPr>
        <w:t xml:space="preserve"> </w:t>
      </w:r>
      <w:r>
        <w:rPr>
          <w:sz w:val="24"/>
        </w:rPr>
        <w:t>and whom to contact if they experience accessibility issues.</w:t>
      </w:r>
    </w:p>
    <w:p w14:paraId="7279DE9F" w14:textId="77777777" w:rsidR="00375209" w:rsidRDefault="00102619">
      <w:pPr>
        <w:pStyle w:val="ListParagraph"/>
        <w:numPr>
          <w:ilvl w:val="1"/>
          <w:numId w:val="1"/>
        </w:numPr>
        <w:tabs>
          <w:tab w:val="left" w:pos="1078"/>
        </w:tabs>
        <w:spacing w:before="236"/>
        <w:ind w:left="1078" w:hanging="359"/>
        <w:rPr>
          <w:sz w:val="24"/>
        </w:rPr>
      </w:pPr>
      <w:bookmarkStart w:id="8" w:name="C._Internal_Controls"/>
      <w:bookmarkEnd w:id="8"/>
      <w:r>
        <w:rPr>
          <w:color w:val="44536A"/>
          <w:w w:val="105"/>
          <w:sz w:val="24"/>
        </w:rPr>
        <w:t>Internal</w:t>
      </w:r>
      <w:r>
        <w:rPr>
          <w:color w:val="44536A"/>
          <w:spacing w:val="35"/>
          <w:w w:val="105"/>
          <w:sz w:val="24"/>
        </w:rPr>
        <w:t xml:space="preserve"> </w:t>
      </w:r>
      <w:r>
        <w:rPr>
          <w:color w:val="44536A"/>
          <w:spacing w:val="-2"/>
          <w:w w:val="105"/>
          <w:sz w:val="24"/>
        </w:rPr>
        <w:t>Controls</w:t>
      </w:r>
    </w:p>
    <w:p w14:paraId="485E60B7" w14:textId="00C520FB" w:rsidR="00375209" w:rsidRDefault="00102619">
      <w:pPr>
        <w:pStyle w:val="BodyText"/>
        <w:spacing w:before="243"/>
        <w:ind w:left="1080" w:right="81"/>
      </w:pPr>
      <w:r>
        <w:t>Each</w:t>
      </w:r>
      <w:r>
        <w:rPr>
          <w:spacing w:val="-4"/>
        </w:rPr>
        <w:t xml:space="preserve"> </w:t>
      </w:r>
      <w:r w:rsidR="008609E1">
        <w:t>NSU</w:t>
      </w:r>
      <w:r>
        <w:rPr>
          <w:spacing w:val="-5"/>
        </w:rPr>
        <w:t xml:space="preserve"> </w:t>
      </w:r>
      <w:r>
        <w:t>Oﬃce</w:t>
      </w:r>
      <w:r>
        <w:rPr>
          <w:spacing w:val="-7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adhere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 w:rsidRPr="008609E1">
        <w:rPr>
          <w:u w:color="0562C1"/>
        </w:rPr>
        <w:t>Web</w:t>
      </w:r>
      <w:r w:rsidRPr="008609E1">
        <w:rPr>
          <w:spacing w:val="-4"/>
          <w:u w:color="0562C1"/>
        </w:rPr>
        <w:t xml:space="preserve"> </w:t>
      </w:r>
      <w:r w:rsidRPr="008609E1">
        <w:t>Accessibility</w:t>
      </w:r>
      <w:r w:rsidRPr="008609E1">
        <w:rPr>
          <w:spacing w:val="-6"/>
          <w:u w:color="0562C1"/>
        </w:rPr>
        <w:t xml:space="preserve"> </w:t>
      </w:r>
      <w:r w:rsidRPr="008609E1">
        <w:rPr>
          <w:u w:color="0562C1"/>
        </w:rPr>
        <w:t>Procedures</w:t>
      </w:r>
      <w:r w:rsidRPr="008609E1">
        <w:rPr>
          <w:spacing w:val="-6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web content is screened, monitored, and corrected as necessary for accessibility.</w:t>
      </w:r>
    </w:p>
    <w:p w14:paraId="67B11622" w14:textId="77777777" w:rsidR="00375209" w:rsidRDefault="00102619">
      <w:pPr>
        <w:pStyle w:val="Heading2"/>
        <w:numPr>
          <w:ilvl w:val="0"/>
          <w:numId w:val="1"/>
        </w:numPr>
        <w:tabs>
          <w:tab w:val="left" w:pos="719"/>
        </w:tabs>
        <w:spacing w:before="240"/>
        <w:ind w:left="719" w:hanging="719"/>
      </w:pPr>
      <w:bookmarkStart w:id="9" w:name="VI._Questions"/>
      <w:bookmarkEnd w:id="9"/>
      <w:r>
        <w:rPr>
          <w:color w:val="2E5395"/>
          <w:spacing w:val="-2"/>
        </w:rPr>
        <w:t>Questions</w:t>
      </w:r>
    </w:p>
    <w:p w14:paraId="0FAB0566" w14:textId="0F6EEAF3" w:rsidR="00375209" w:rsidRDefault="00102619">
      <w:pPr>
        <w:pStyle w:val="BodyText"/>
        <w:spacing w:before="239"/>
        <w:ind w:left="720" w:right="81"/>
      </w:pPr>
      <w:r>
        <w:t>Questions</w:t>
      </w:r>
      <w:r>
        <w:rPr>
          <w:spacing w:val="-8"/>
        </w:rPr>
        <w:t xml:space="preserve"> </w:t>
      </w:r>
      <w:r>
        <w:t>regarding</w:t>
      </w:r>
      <w:r>
        <w:rPr>
          <w:spacing w:val="-6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directed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Oﬃce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 w:rsidR="00775818">
        <w:t>The Agency ADA Coordinator (ADAC)</w:t>
      </w:r>
      <w:r w:rsidR="008E47A9">
        <w:t>, Veronica Biscoe</w:t>
      </w:r>
      <w:r>
        <w:rPr>
          <w:spacing w:val="-2"/>
        </w:rPr>
        <w:t>.</w:t>
      </w:r>
    </w:p>
    <w:p w14:paraId="2EFAD4E0" w14:textId="7BC0A020" w:rsidR="00375209" w:rsidRDefault="00F715CD">
      <w:pPr>
        <w:pStyle w:val="BodyText"/>
        <w:spacing w:before="189"/>
      </w:pPr>
      <w:r w:rsidRPr="00F715CD">
        <w:rPr>
          <w:noProof/>
        </w:rPr>
        <w:drawing>
          <wp:anchor distT="0" distB="0" distL="114300" distR="114300" simplePos="0" relativeHeight="251658240" behindDoc="1" locked="0" layoutInCell="1" allowOverlap="1" wp14:anchorId="6E001B3D" wp14:editId="7E5870EC">
            <wp:simplePos x="0" y="0"/>
            <wp:positionH relativeFrom="column">
              <wp:posOffset>1197962</wp:posOffset>
            </wp:positionH>
            <wp:positionV relativeFrom="paragraph">
              <wp:posOffset>106045</wp:posOffset>
            </wp:positionV>
            <wp:extent cx="4367530" cy="923290"/>
            <wp:effectExtent l="0" t="0" r="0" b="0"/>
            <wp:wrapTight wrapText="bothSides">
              <wp:wrapPolygon edited="0">
                <wp:start x="0" y="0"/>
                <wp:lineTo x="0" y="20946"/>
                <wp:lineTo x="21481" y="20946"/>
                <wp:lineTo x="21481" y="0"/>
                <wp:lineTo x="0" y="0"/>
              </wp:wrapPolygon>
            </wp:wrapTight>
            <wp:docPr id="1955681440" name="Picture 4" descr="Signature of James T. Genove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681440" name="Picture 4" descr="Signature of James T. Genoves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7530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C55F67" w14:textId="0DB398FA" w:rsidR="00375209" w:rsidRDefault="00102619">
      <w:pPr>
        <w:pStyle w:val="Heading2"/>
        <w:tabs>
          <w:tab w:val="left" w:pos="7150"/>
        </w:tabs>
        <w:spacing w:line="317" w:lineRule="exact"/>
        <w:ind w:left="0" w:right="2208" w:firstLine="0"/>
        <w:jc w:val="center"/>
        <w:rPr>
          <w:color w:val="2E5395"/>
          <w:spacing w:val="-6"/>
        </w:rPr>
      </w:pPr>
      <w:bookmarkStart w:id="10" w:name="Authorization:"/>
      <w:bookmarkEnd w:id="10"/>
      <w:r>
        <w:rPr>
          <w:color w:val="2E5395"/>
        </w:rPr>
        <w:t>Authorization:</w:t>
      </w:r>
      <w:r>
        <w:rPr>
          <w:color w:val="2E5395"/>
          <w:spacing w:val="-6"/>
        </w:rPr>
        <w:t xml:space="preserve"> </w:t>
      </w:r>
    </w:p>
    <w:p w14:paraId="3279B03F" w14:textId="77777777" w:rsidR="00F715CD" w:rsidRDefault="00F715CD">
      <w:pPr>
        <w:pStyle w:val="Heading2"/>
        <w:tabs>
          <w:tab w:val="left" w:pos="7150"/>
        </w:tabs>
        <w:spacing w:line="317" w:lineRule="exact"/>
        <w:ind w:left="0" w:right="2208" w:firstLine="0"/>
        <w:jc w:val="center"/>
        <w:rPr>
          <w:color w:val="2E5395"/>
          <w:spacing w:val="-6"/>
        </w:rPr>
      </w:pPr>
    </w:p>
    <w:p w14:paraId="0529B7C1" w14:textId="77777777" w:rsidR="00F715CD" w:rsidRDefault="00F715CD">
      <w:pPr>
        <w:pStyle w:val="Heading2"/>
        <w:tabs>
          <w:tab w:val="left" w:pos="7150"/>
        </w:tabs>
        <w:spacing w:line="317" w:lineRule="exact"/>
        <w:ind w:left="0" w:right="2208" w:firstLine="0"/>
        <w:jc w:val="center"/>
        <w:rPr>
          <w:color w:val="2E5395"/>
          <w:spacing w:val="-6"/>
        </w:rPr>
      </w:pPr>
    </w:p>
    <w:p w14:paraId="076D8A69" w14:textId="77777777" w:rsidR="00F715CD" w:rsidRDefault="00F715CD">
      <w:pPr>
        <w:pStyle w:val="Heading2"/>
        <w:tabs>
          <w:tab w:val="left" w:pos="7150"/>
        </w:tabs>
        <w:spacing w:line="317" w:lineRule="exact"/>
        <w:ind w:left="0" w:right="2208" w:firstLine="0"/>
        <w:jc w:val="center"/>
        <w:rPr>
          <w:rFonts w:ascii="Times New Roman"/>
          <w:b w:val="0"/>
        </w:rPr>
      </w:pPr>
    </w:p>
    <w:p w14:paraId="19E9DDF1" w14:textId="746A3A27" w:rsidR="00375209" w:rsidRDefault="00775818">
      <w:pPr>
        <w:pStyle w:val="BodyText"/>
        <w:spacing w:line="293" w:lineRule="exact"/>
        <w:ind w:right="2232"/>
        <w:jc w:val="center"/>
      </w:pPr>
      <w:r>
        <w:t>James T. Genovese,</w:t>
      </w:r>
      <w:r>
        <w:rPr>
          <w:spacing w:val="-6"/>
        </w:rPr>
        <w:t xml:space="preserve"> </w:t>
      </w:r>
      <w:r>
        <w:t>President</w:t>
      </w:r>
    </w:p>
    <w:p w14:paraId="33C23E01" w14:textId="77777777" w:rsidR="00F715CD" w:rsidRDefault="00F715CD">
      <w:pPr>
        <w:pStyle w:val="BodyText"/>
        <w:spacing w:line="293" w:lineRule="exact"/>
        <w:ind w:right="2232"/>
        <w:jc w:val="center"/>
      </w:pPr>
    </w:p>
    <w:p w14:paraId="269852C9" w14:textId="5BDB00F5" w:rsidR="00F715CD" w:rsidRDefault="00F715CD">
      <w:pPr>
        <w:pStyle w:val="BodyText"/>
        <w:spacing w:line="293" w:lineRule="exact"/>
        <w:ind w:right="2232"/>
        <w:jc w:val="center"/>
      </w:pPr>
    </w:p>
    <w:sectPr w:rsidR="00F715CD">
      <w:pgSz w:w="12240" w:h="15840"/>
      <w:pgMar w:top="960" w:right="1440" w:bottom="280" w:left="1440" w:header="18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CC49E" w14:textId="77777777" w:rsidR="00431D04" w:rsidRDefault="00431D04">
      <w:r>
        <w:separator/>
      </w:r>
    </w:p>
  </w:endnote>
  <w:endnote w:type="continuationSeparator" w:id="0">
    <w:p w14:paraId="3516FDAA" w14:textId="77777777" w:rsidR="00431D04" w:rsidRDefault="00431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ADFB6" w14:textId="77777777" w:rsidR="00431D04" w:rsidRDefault="00431D04">
      <w:r>
        <w:separator/>
      </w:r>
    </w:p>
  </w:footnote>
  <w:footnote w:type="continuationSeparator" w:id="0">
    <w:p w14:paraId="7B9A8140" w14:textId="77777777" w:rsidR="00431D04" w:rsidRDefault="00431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4BA3A" w14:textId="77777777" w:rsidR="00375209" w:rsidRDefault="0010261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738F99BD" wp14:editId="6709D4FA">
              <wp:simplePos x="0" y="0"/>
              <wp:positionH relativeFrom="page">
                <wp:posOffset>203200</wp:posOffset>
              </wp:positionH>
              <wp:positionV relativeFrom="page">
                <wp:posOffset>116405</wp:posOffset>
              </wp:positionV>
              <wp:extent cx="316992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699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3C7B9E" w14:textId="777A6A04" w:rsidR="00375209" w:rsidRDefault="00375209" w:rsidP="0040177E">
                          <w:pPr>
                            <w:spacing w:before="14"/>
                            <w:rPr>
                              <w:rFonts w:ascii="Arial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8F99B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6pt;margin-top:9.15pt;width:249.6pt;height:10.95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tsNlAEAABsDAAAOAAAAZHJzL2Uyb0RvYy54bWysUsFu2zAMvQ/YPwi6L3ZSLFiMOEW3YkOB&#10;YhvQ9gMUWYqNWaJGKrHz96MUJxm629CLRInU43uPWt+OrhcHg9SBr+V8VkphvIam87tavjx//fBJ&#10;CorKN6oHb2p5NCRvN+/frYdQmQW00DcGBYN4qoZQyzbGUBUF6dY4RTMIxnPSAjoV+Yi7okE1MLrr&#10;i0VZLosBsAkI2hDx7f0pKTcZ31qj4w9ryUTR15K5xbxiXrdpLTZrVe1QhbbTEw31Hyyc6jw3vUDd&#10;q6jEHrt/oFynEQhsnGlwBVjbaZM1sJp5+UrNU6uCyVrYHAoXm+jtYPX3w1P4iSKOn2HkAWYRFB5B&#10;/yL2phgCVVNN8pQq4uokdLTo0s4SBD9kb48XP80YhebLm/lytVpwSnNufrMqlx+T4cX1dUCK3ww4&#10;kYJaIs8rM1CHR4qn0nPJRObUPzGJ43bkkhRuoTmyiIHnWEv6vVdopOgfPBuVhn4O8BxszwHG/gvk&#10;r5G0eLjbR7Bd7nzFnTrzBDL36bekEf99zlXXP735AwAA//8DAFBLAwQUAAYACAAAACEAhf9QRt4A&#10;AAAIAQAADwAAAGRycy9kb3ducmV2LnhtbEyPwU7DMBBE70j8g7VI3KjdBKoS4lQVghMSIg0Hjk68&#10;TaLG6xC7bfh7llM5zs5q5k2+md0gTjiF3pOG5UKBQGq87anV8Fm93q1BhGjImsETavjBAJvi+io3&#10;mfVnKvG0i63gEAqZ0dDFOGZShqZDZ8LCj0js7f3kTGQ5tdJO5szhbpCJUivpTE/c0JkRnztsDruj&#10;07D9ovKl/36vP8p92VfVo6K31UHr25t5+wQi4hwvz/CHz+hQMFPtj2SDGDSkCU+JfF+nINh/SJcJ&#10;iFrDvUpAFrn8P6D4BQAA//8DAFBLAQItABQABgAIAAAAIQC2gziS/gAAAOEBAAATAAAAAAAAAAAA&#10;AAAAAAAAAABbQ29udGVudF9UeXBlc10ueG1sUEsBAi0AFAAGAAgAAAAhADj9If/WAAAAlAEAAAsA&#10;AAAAAAAAAAAAAAAALwEAAF9yZWxzLy5yZWxzUEsBAi0AFAAGAAgAAAAhAPti2w2UAQAAGwMAAA4A&#10;AAAAAAAAAAAAAAAALgIAAGRycy9lMm9Eb2MueG1sUEsBAi0AFAAGAAgAAAAhAIX/UEbeAAAACAEA&#10;AA8AAAAAAAAAAAAAAAAA7gMAAGRycy9kb3ducmV2LnhtbFBLBQYAAAAABAAEAPMAAAD5BAAAAAA=&#10;" filled="f" stroked="f">
              <v:textbox inset="0,0,0,0">
                <w:txbxContent>
                  <w:p w14:paraId="7F3C7B9E" w14:textId="777A6A04" w:rsidR="00375209" w:rsidRDefault="00375209" w:rsidP="0040177E">
                    <w:pPr>
                      <w:spacing w:before="14"/>
                      <w:rPr>
                        <w:rFonts w:asci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90635"/>
    <w:multiLevelType w:val="hybridMultilevel"/>
    <w:tmpl w:val="14EC2A64"/>
    <w:lvl w:ilvl="0" w:tplc="9EE2CBEC">
      <w:start w:val="1"/>
      <w:numFmt w:val="upperRoman"/>
      <w:lvlText w:val="%1."/>
      <w:lvlJc w:val="left"/>
      <w:pPr>
        <w:ind w:left="720" w:hanging="721"/>
      </w:pPr>
      <w:rPr>
        <w:rFonts w:ascii="Calibri" w:eastAsia="Calibri" w:hAnsi="Calibri" w:cs="Calibri" w:hint="default"/>
        <w:b/>
        <w:bCs/>
        <w:i w:val="0"/>
        <w:iCs w:val="0"/>
        <w:color w:val="2E5395"/>
        <w:spacing w:val="0"/>
        <w:w w:val="99"/>
        <w:sz w:val="26"/>
        <w:szCs w:val="26"/>
        <w:lang w:val="en-US" w:eastAsia="en-US" w:bidi="ar-SA"/>
      </w:rPr>
    </w:lvl>
    <w:lvl w:ilvl="1" w:tplc="B9B4BBC6">
      <w:start w:val="1"/>
      <w:numFmt w:val="upperLetter"/>
      <w:lvlText w:val="%2.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44536A"/>
        <w:spacing w:val="0"/>
        <w:w w:val="105"/>
        <w:sz w:val="24"/>
        <w:szCs w:val="24"/>
        <w:lang w:val="en-US" w:eastAsia="en-US" w:bidi="ar-SA"/>
      </w:rPr>
    </w:lvl>
    <w:lvl w:ilvl="2" w:tplc="11C89BEE">
      <w:start w:val="1"/>
      <w:numFmt w:val="decimal"/>
      <w:lvlText w:val="%3."/>
      <w:lvlJc w:val="left"/>
      <w:pPr>
        <w:ind w:left="180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8F12462E">
      <w:numFmt w:val="bullet"/>
      <w:lvlText w:val="•"/>
      <w:lvlJc w:val="left"/>
      <w:pPr>
        <w:ind w:left="2242" w:hanging="360"/>
      </w:pPr>
      <w:rPr>
        <w:rFonts w:hint="default"/>
        <w:lang w:val="en-US" w:eastAsia="en-US" w:bidi="ar-SA"/>
      </w:rPr>
    </w:lvl>
    <w:lvl w:ilvl="4" w:tplc="C610CA1C">
      <w:numFmt w:val="bullet"/>
      <w:lvlText w:val="•"/>
      <w:lvlJc w:val="left"/>
      <w:pPr>
        <w:ind w:left="2685" w:hanging="360"/>
      </w:pPr>
      <w:rPr>
        <w:rFonts w:hint="default"/>
        <w:lang w:val="en-US" w:eastAsia="en-US" w:bidi="ar-SA"/>
      </w:rPr>
    </w:lvl>
    <w:lvl w:ilvl="5" w:tplc="16422396">
      <w:numFmt w:val="bullet"/>
      <w:lvlText w:val="•"/>
      <w:lvlJc w:val="left"/>
      <w:pPr>
        <w:ind w:left="3127" w:hanging="360"/>
      </w:pPr>
      <w:rPr>
        <w:rFonts w:hint="default"/>
        <w:lang w:val="en-US" w:eastAsia="en-US" w:bidi="ar-SA"/>
      </w:rPr>
    </w:lvl>
    <w:lvl w:ilvl="6" w:tplc="9D2C4B6A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ar-SA"/>
      </w:rPr>
    </w:lvl>
    <w:lvl w:ilvl="7" w:tplc="B71EAE1E"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ar-SA"/>
      </w:rPr>
    </w:lvl>
    <w:lvl w:ilvl="8" w:tplc="532E6A3A">
      <w:numFmt w:val="bullet"/>
      <w:lvlText w:val="•"/>
      <w:lvlJc w:val="left"/>
      <w:pPr>
        <w:ind w:left="4455" w:hanging="360"/>
      </w:pPr>
      <w:rPr>
        <w:rFonts w:hint="default"/>
        <w:lang w:val="en-US" w:eastAsia="en-US" w:bidi="ar-SA"/>
      </w:rPr>
    </w:lvl>
  </w:abstractNum>
  <w:num w:numId="1" w16cid:durableId="1641763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209"/>
    <w:rsid w:val="00041547"/>
    <w:rsid w:val="0005758C"/>
    <w:rsid w:val="000F3684"/>
    <w:rsid w:val="00102619"/>
    <w:rsid w:val="002522C4"/>
    <w:rsid w:val="00375209"/>
    <w:rsid w:val="003F5213"/>
    <w:rsid w:val="0040177E"/>
    <w:rsid w:val="00431D04"/>
    <w:rsid w:val="00512806"/>
    <w:rsid w:val="006512C9"/>
    <w:rsid w:val="006D6D1E"/>
    <w:rsid w:val="00730DA4"/>
    <w:rsid w:val="00775818"/>
    <w:rsid w:val="007D19C3"/>
    <w:rsid w:val="007E05CD"/>
    <w:rsid w:val="008609E1"/>
    <w:rsid w:val="00877808"/>
    <w:rsid w:val="008D2A76"/>
    <w:rsid w:val="008E47A9"/>
    <w:rsid w:val="009C6FD4"/>
    <w:rsid w:val="00AD3419"/>
    <w:rsid w:val="00BA0031"/>
    <w:rsid w:val="00CC47A7"/>
    <w:rsid w:val="00CF1192"/>
    <w:rsid w:val="00D25608"/>
    <w:rsid w:val="00D769D7"/>
    <w:rsid w:val="00DC6CE7"/>
    <w:rsid w:val="00E0353B"/>
    <w:rsid w:val="00E25938"/>
    <w:rsid w:val="00E632D6"/>
    <w:rsid w:val="00EB5355"/>
    <w:rsid w:val="00F715CD"/>
    <w:rsid w:val="00FE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7B754"/>
  <w15:docId w15:val="{00642625-860C-46CA-8447-07C8A648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719" w:hanging="719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19" w:hanging="71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017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177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017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177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doa.la.gov/media/gs0hee2m/ppm-74-web-accessibility-compliance-r6-25-a11y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cfr.gov/current/title-28/chapter-I/part-35/subpart-H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image" Target="media/image2.emf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w3.org/TR/WCAG2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vel xmlns="3452bb73-bba1-4d3a-abcb-fdaab5fe778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6017CACB65254BA623F8889056D329" ma:contentTypeVersion="4" ma:contentTypeDescription="Create a new document." ma:contentTypeScope="" ma:versionID="86e31389274c9e53c4bc02bd73d40aaf">
  <xsd:schema xmlns:xsd="http://www.w3.org/2001/XMLSchema" xmlns:xs="http://www.w3.org/2001/XMLSchema" xmlns:p="http://schemas.microsoft.com/office/2006/metadata/properties" xmlns:ns2="3452bb73-bba1-4d3a-abcb-fdaab5fe778d" targetNamespace="http://schemas.microsoft.com/office/2006/metadata/properties" ma:root="true" ma:fieldsID="de237d4c936c79a333a8caf513c2cfa6" ns2:_="">
    <xsd:import namespace="3452bb73-bba1-4d3a-abcb-fdaab5fe778d"/>
    <xsd:element name="properties">
      <xsd:complexType>
        <xsd:sequence>
          <xsd:element name="documentManagement">
            <xsd:complexType>
              <xsd:all>
                <xsd:element ref="ns2:Level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2bb73-bba1-4d3a-abcb-fdaab5fe778d" elementFormDefault="qualified">
    <xsd:import namespace="http://schemas.microsoft.com/office/2006/documentManagement/types"/>
    <xsd:import namespace="http://schemas.microsoft.com/office/infopath/2007/PartnerControls"/>
    <xsd:element name="Level" ma:index="8" nillable="true" ma:displayName="Level" ma:description="Level of the institution from which the policy was issued." ma:format="Dropdown" ma:internalName="Level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1B3559-599C-495A-A342-606F2D172151}">
  <ds:schemaRefs>
    <ds:schemaRef ds:uri="http://schemas.microsoft.com/office/2006/metadata/properties"/>
    <ds:schemaRef ds:uri="http://schemas.microsoft.com/office/infopath/2007/PartnerControls"/>
    <ds:schemaRef ds:uri="3452bb73-bba1-4d3a-abcb-fdaab5fe778d"/>
  </ds:schemaRefs>
</ds:datastoreItem>
</file>

<file path=customXml/itemProps2.xml><?xml version="1.0" encoding="utf-8"?>
<ds:datastoreItem xmlns:ds="http://schemas.openxmlformats.org/officeDocument/2006/customXml" ds:itemID="{D8EE83F1-EE88-4BE5-81B5-DD1D4A0A9F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A5435B-36F5-4ED1-B49D-256752F751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52bb73-bba1-4d3a-abcb-fdaab5fe7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2118</Characters>
  <Application>Microsoft Office Word</Application>
  <DocSecurity>0</DocSecurity>
  <Lines>69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NSU Web Accessibility Policy-signed</vt:lpstr>
    </vt:vector>
  </TitlesOfParts>
  <Manager>Veronica Biscoe</Manager>
  <Company>Northwestern State University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NSU Web Accessibility Policy-signed</dc:title>
  <dc:subject>accessibility, ADA</dc:subject>
  <dc:creator>Joseph Parrie</dc:creator>
  <cp:lastModifiedBy>Joe Parrie</cp:lastModifiedBy>
  <cp:revision>5</cp:revision>
  <dcterms:created xsi:type="dcterms:W3CDTF">2026-03-31T03:15:00Z</dcterms:created>
  <dcterms:modified xsi:type="dcterms:W3CDTF">2026-04-01T14:46:00Z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2026-03-12T00:00:00Z</vt:filetime>
  </property>
  <property fmtid="{D5CDD505-2E9C-101B-9397-08002B2CF9AE}" pid="5" name="Producer">
    <vt:lpwstr>Docusign DMv10</vt:lpwstr>
  </property>
  <property fmtid="{D5CDD505-2E9C-101B-9397-08002B2CF9AE}" pid="6" name="SourceModified">
    <vt:lpwstr>D:20260129205229</vt:lpwstr>
  </property>
  <property fmtid="{D5CDD505-2E9C-101B-9397-08002B2CF9AE}" pid="7" name="ContentTypeId">
    <vt:lpwstr>0x010100386017CACB65254BA623F8889056D329</vt:lpwstr>
  </property>
  <property fmtid="{D5CDD505-2E9C-101B-9397-08002B2CF9AE}" pid="8" name="_MarkAsFinal">
    <vt:bool>true</vt:bool>
  </property>
</Properties>
</file>